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2E6" w:rsidRPr="003462E6" w:rsidRDefault="003462E6" w:rsidP="003462E6">
      <w:pPr>
        <w:rPr>
          <w:rFonts w:ascii="Times New Roman" w:hAnsi="Times New Roman"/>
          <w:b/>
          <w:lang w:eastAsia="tr-TR"/>
        </w:rPr>
      </w:pPr>
      <w:r w:rsidRPr="003462E6">
        <w:rPr>
          <w:rFonts w:ascii="Times New Roman" w:hAnsi="Times New Roman"/>
          <w:b/>
          <w:lang w:eastAsia="tr-TR"/>
        </w:rPr>
        <w:t>Senato Tarihi</w:t>
      </w:r>
      <w:r w:rsidRPr="003462E6">
        <w:rPr>
          <w:rFonts w:ascii="Times New Roman" w:hAnsi="Times New Roman"/>
          <w:b/>
          <w:lang w:eastAsia="tr-TR"/>
        </w:rPr>
        <w:tab/>
      </w:r>
      <w:r w:rsidRPr="003462E6">
        <w:rPr>
          <w:rFonts w:ascii="Times New Roman" w:hAnsi="Times New Roman"/>
          <w:b/>
          <w:lang w:eastAsia="tr-TR"/>
        </w:rPr>
        <w:tab/>
        <w:t xml:space="preserve">: </w:t>
      </w:r>
      <w:proofErr w:type="gramStart"/>
      <w:r w:rsidRPr="003462E6">
        <w:rPr>
          <w:rFonts w:ascii="Times New Roman" w:hAnsi="Times New Roman"/>
          <w:b/>
          <w:lang w:eastAsia="tr-TR"/>
        </w:rPr>
        <w:t>23/12/2015</w:t>
      </w:r>
      <w:proofErr w:type="gramEnd"/>
    </w:p>
    <w:p w:rsidR="003462E6" w:rsidRPr="003462E6" w:rsidRDefault="003462E6" w:rsidP="003462E6">
      <w:pPr>
        <w:spacing w:after="0" w:line="240" w:lineRule="auto"/>
        <w:ind w:right="46"/>
        <w:jc w:val="both"/>
        <w:rPr>
          <w:rFonts w:ascii="Times New Roman" w:eastAsia="Times New Roman" w:hAnsi="Times New Roman"/>
          <w:b/>
          <w:lang w:eastAsia="tr-TR"/>
        </w:rPr>
      </w:pPr>
      <w:r w:rsidRPr="003462E6">
        <w:rPr>
          <w:rFonts w:ascii="Times New Roman" w:eastAsia="Times New Roman" w:hAnsi="Times New Roman"/>
          <w:b/>
          <w:lang w:eastAsia="tr-TR"/>
        </w:rPr>
        <w:t>Karar No</w:t>
      </w:r>
      <w:r w:rsidRPr="003462E6">
        <w:rPr>
          <w:rFonts w:ascii="Times New Roman" w:eastAsia="Times New Roman" w:hAnsi="Times New Roman"/>
          <w:b/>
          <w:lang w:eastAsia="tr-TR"/>
        </w:rPr>
        <w:tab/>
      </w:r>
      <w:r w:rsidRPr="003462E6">
        <w:rPr>
          <w:rFonts w:ascii="Times New Roman" w:eastAsia="Times New Roman" w:hAnsi="Times New Roman"/>
          <w:b/>
          <w:lang w:eastAsia="tr-TR"/>
        </w:rPr>
        <w:tab/>
        <w:t>: 1</w:t>
      </w:r>
      <w:r w:rsidRPr="003462E6">
        <w:rPr>
          <w:rFonts w:ascii="Times New Roman" w:eastAsia="Times New Roman" w:hAnsi="Times New Roman"/>
          <w:b/>
          <w:lang w:eastAsia="tr-TR"/>
        </w:rPr>
        <w:t>3/2</w:t>
      </w:r>
    </w:p>
    <w:p w:rsidR="003462E6" w:rsidRDefault="003462E6" w:rsidP="0017016E">
      <w:pPr>
        <w:spacing w:line="240" w:lineRule="auto"/>
        <w:ind w:firstLine="708"/>
        <w:jc w:val="both"/>
        <w:rPr>
          <w:rFonts w:ascii="Times New Roman" w:eastAsia="Times New Roman" w:hAnsi="Times New Roman"/>
          <w:b/>
          <w:sz w:val="24"/>
          <w:szCs w:val="24"/>
          <w:lang w:eastAsia="tr-TR"/>
        </w:rPr>
      </w:pPr>
      <w:bookmarkStart w:id="0" w:name="_GoBack"/>
      <w:bookmarkEnd w:id="0"/>
    </w:p>
    <w:p w:rsidR="0017016E" w:rsidRDefault="0017016E" w:rsidP="0017016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KIRIKKALE ÜNİVERSİTESİ</w:t>
      </w:r>
    </w:p>
    <w:p w:rsidR="0017016E" w:rsidRDefault="0017016E" w:rsidP="0017016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PEDAGOJİK FORMASYON EĞİTİMİ YÖNERGESİ</w:t>
      </w:r>
    </w:p>
    <w:p w:rsidR="0017016E" w:rsidRDefault="0017016E" w:rsidP="0017016E">
      <w:pPr>
        <w:spacing w:after="0" w:line="240" w:lineRule="auto"/>
        <w:jc w:val="center"/>
        <w:rPr>
          <w:rFonts w:ascii="Times New Roman" w:eastAsia="Times New Roman" w:hAnsi="Times New Roman"/>
          <w:b/>
          <w:bCs/>
          <w:sz w:val="20"/>
          <w:szCs w:val="20"/>
          <w:lang w:eastAsia="tr-TR"/>
        </w:rPr>
      </w:pPr>
    </w:p>
    <w:p w:rsidR="0017016E" w:rsidRDefault="0017016E" w:rsidP="0017016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BİRİNCİ BÖLÜM</w:t>
      </w:r>
    </w:p>
    <w:p w:rsidR="0017016E" w:rsidRDefault="0017016E" w:rsidP="0017016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Amaç, Kapsam, Dayanak ve Tanımlar</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Amaç</w:t>
      </w:r>
    </w:p>
    <w:p w:rsidR="0017016E" w:rsidRDefault="0017016E" w:rsidP="0017016E">
      <w:pPr>
        <w:spacing w:after="0" w:line="240" w:lineRule="auto"/>
        <w:jc w:val="both"/>
        <w:rPr>
          <w:rFonts w:ascii="Times New Roman" w:eastAsia="Times New Roman" w:hAnsi="Times New Roman"/>
          <w:sz w:val="20"/>
          <w:szCs w:val="20"/>
          <w:lang w:eastAsia="tr-TR"/>
        </w:rPr>
      </w:pPr>
      <w:proofErr w:type="gramStart"/>
      <w:r>
        <w:rPr>
          <w:rFonts w:ascii="Times New Roman" w:eastAsia="Times New Roman" w:hAnsi="Times New Roman"/>
          <w:b/>
          <w:bCs/>
          <w:sz w:val="20"/>
          <w:szCs w:val="20"/>
          <w:lang w:eastAsia="tr-TR"/>
        </w:rPr>
        <w:t>MADDE 1 – (1) </w:t>
      </w:r>
      <w:r>
        <w:rPr>
          <w:rFonts w:ascii="Times New Roman" w:eastAsia="Times New Roman" w:hAnsi="Times New Roman"/>
          <w:sz w:val="20"/>
          <w:szCs w:val="20"/>
          <w:lang w:eastAsia="tr-TR"/>
        </w:rPr>
        <w:t>Bu Yönergenin amacı; Talim ve Terbiye Kurulu'nun 20 Şubat 2014 tarihli ve 9 sayılı kararının ekinde yer alan yükseköğretim programlarına devam eden ve bunlardan mezun olanlarla yurt dışındaki yükseköğretim kurumlarından mezun olup da adı geçen karar ekindeki programlara denkliği Kurul tarafından onaylanan ve belirlenen şartları taşıyan adaylar için Kırıkkale Üniversitesi Eğitim Fakültesinde açılan Pedagojik Formasyon Eğitimi Sertifika Programına ilişkin Usul ve Esasları düzenlemektir.</w:t>
      </w:r>
      <w:proofErr w:type="gramEnd"/>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Kapsam</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MADDE 2 – (1) </w:t>
      </w:r>
      <w:r>
        <w:rPr>
          <w:rFonts w:ascii="Times New Roman" w:eastAsia="Times New Roman" w:hAnsi="Times New Roman"/>
          <w:sz w:val="20"/>
          <w:szCs w:val="20"/>
          <w:lang w:eastAsia="tr-TR"/>
        </w:rPr>
        <w:t xml:space="preserve">Bu Yönerge,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eğitimine başvuru, kabul ve kayıt koşulları ile derslerin ve açılacağı yarıyılların belirlenmesine, ders programları ve içeriklerinin düzenlemesine, sertifika programının uygulanmasına ilişkin akademik, idari, ve mali esasları kapsar.</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 </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 Dayanak</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MADDE 3 – (1) </w:t>
      </w:r>
      <w:r>
        <w:rPr>
          <w:rFonts w:ascii="Times New Roman" w:eastAsia="Times New Roman" w:hAnsi="Times New Roman"/>
          <w:sz w:val="20"/>
          <w:szCs w:val="20"/>
          <w:lang w:eastAsia="tr-TR"/>
        </w:rPr>
        <w:t xml:space="preserve">Bu Yönerge; Yükseköğretim Kurulu Başkanlığının </w:t>
      </w:r>
      <w:proofErr w:type="gramStart"/>
      <w:r>
        <w:rPr>
          <w:rFonts w:ascii="Times New Roman" w:eastAsia="Times New Roman" w:hAnsi="Times New Roman"/>
          <w:sz w:val="20"/>
          <w:szCs w:val="20"/>
          <w:lang w:eastAsia="tr-TR"/>
        </w:rPr>
        <w:t>08/10/2014</w:t>
      </w:r>
      <w:proofErr w:type="gramEnd"/>
      <w:r>
        <w:rPr>
          <w:rFonts w:ascii="Times New Roman" w:eastAsia="Times New Roman" w:hAnsi="Times New Roman"/>
          <w:sz w:val="20"/>
          <w:szCs w:val="20"/>
          <w:lang w:eastAsia="tr-TR"/>
        </w:rPr>
        <w:t xml:space="preserve"> tarih, 59355 sayılı Yükseköğretim Kurulu, Pedagojik Formasyon Eğitimi Sertifika Programına İlişkin Usul ve Esaslar dayanak alınarak hazırlanmıştır.</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 </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Tanımlar</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MADDE 4 –</w:t>
      </w:r>
      <w:r>
        <w:rPr>
          <w:rFonts w:ascii="Times New Roman" w:eastAsia="Times New Roman" w:hAnsi="Times New Roman"/>
          <w:sz w:val="20"/>
          <w:szCs w:val="20"/>
          <w:lang w:eastAsia="tr-TR"/>
        </w:rPr>
        <w:t> </w:t>
      </w:r>
      <w:r>
        <w:rPr>
          <w:rFonts w:ascii="Times New Roman" w:eastAsia="Times New Roman" w:hAnsi="Times New Roman"/>
          <w:b/>
          <w:bCs/>
          <w:sz w:val="20"/>
          <w:szCs w:val="20"/>
          <w:lang w:eastAsia="tr-TR"/>
        </w:rPr>
        <w:t>(1)</w:t>
      </w:r>
      <w:r>
        <w:rPr>
          <w:rFonts w:ascii="Times New Roman" w:eastAsia="Times New Roman" w:hAnsi="Times New Roman"/>
          <w:sz w:val="20"/>
          <w:szCs w:val="20"/>
          <w:lang w:eastAsia="tr-TR"/>
        </w:rPr>
        <w:t> Bu Yönergede geçen;</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a)</w:t>
      </w:r>
      <w:r>
        <w:rPr>
          <w:rFonts w:ascii="Times New Roman" w:eastAsia="Times New Roman" w:hAnsi="Times New Roman"/>
          <w:sz w:val="20"/>
          <w:szCs w:val="20"/>
          <w:lang w:eastAsia="tr-TR"/>
        </w:rPr>
        <w:t>Üniversite: Kırıkkale Üniversitesini,</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b)</w:t>
      </w:r>
      <w:r>
        <w:rPr>
          <w:rFonts w:ascii="Times New Roman" w:eastAsia="Times New Roman" w:hAnsi="Times New Roman"/>
          <w:sz w:val="20"/>
          <w:szCs w:val="20"/>
          <w:lang w:eastAsia="tr-TR"/>
        </w:rPr>
        <w:t>Rektör: Kırıkkale Üniversitesi Rektörünü,</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c)</w:t>
      </w:r>
      <w:r>
        <w:rPr>
          <w:rFonts w:ascii="Times New Roman" w:eastAsia="Times New Roman" w:hAnsi="Times New Roman"/>
          <w:sz w:val="20"/>
          <w:szCs w:val="20"/>
          <w:lang w:eastAsia="tr-TR"/>
        </w:rPr>
        <w:t>Senato: Kırıkkale Üniversitesi Senatosunu,</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ç)</w:t>
      </w:r>
      <w:r>
        <w:rPr>
          <w:rFonts w:ascii="Times New Roman" w:eastAsia="Times New Roman" w:hAnsi="Times New Roman"/>
          <w:sz w:val="20"/>
          <w:szCs w:val="20"/>
          <w:lang w:eastAsia="tr-TR"/>
        </w:rPr>
        <w:t>Fakülte Yönetim Kurulu: Eğitim Fakültesi Yönetim Kurulunu,</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d)</w:t>
      </w:r>
      <w:r>
        <w:rPr>
          <w:rFonts w:ascii="Times New Roman" w:eastAsia="Times New Roman" w:hAnsi="Times New Roman"/>
          <w:sz w:val="20"/>
          <w:szCs w:val="20"/>
          <w:lang w:eastAsia="tr-TR"/>
        </w:rPr>
        <w:t>Pedagojik Formasyon Birimi: Eğitim Fakültesi Dekanı tarafından oluşturulan programa ilişkin akademik, idari ve mali işleri yürüten birimi,</w:t>
      </w:r>
    </w:p>
    <w:p w:rsidR="0017016E" w:rsidRDefault="0017016E" w:rsidP="0017016E">
      <w:pPr>
        <w:spacing w:after="0" w:line="240" w:lineRule="auto"/>
        <w:ind w:left="360"/>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İfade eder.</w:t>
      </w:r>
    </w:p>
    <w:p w:rsidR="0017016E" w:rsidRDefault="0017016E" w:rsidP="0017016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 </w:t>
      </w:r>
    </w:p>
    <w:p w:rsidR="0017016E" w:rsidRDefault="0017016E" w:rsidP="0017016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İKİNCİ BÖLÜM</w:t>
      </w:r>
    </w:p>
    <w:p w:rsidR="0017016E" w:rsidRDefault="0017016E" w:rsidP="0017016E">
      <w:pPr>
        <w:spacing w:after="0" w:line="240" w:lineRule="auto"/>
        <w:jc w:val="center"/>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Başvuru, Yerleştirme, Program Açma, Dersler ve Program Süresi</w:t>
      </w:r>
    </w:p>
    <w:p w:rsidR="0017016E" w:rsidRDefault="0017016E" w:rsidP="0017016E">
      <w:pPr>
        <w:spacing w:after="0" w:line="240" w:lineRule="auto"/>
        <w:jc w:val="both"/>
        <w:rPr>
          <w:rFonts w:ascii="Times New Roman" w:eastAsia="Times New Roman" w:hAnsi="Times New Roman"/>
          <w:sz w:val="20"/>
          <w:szCs w:val="20"/>
          <w:lang w:eastAsia="tr-TR"/>
        </w:rPr>
      </w:pPr>
      <w:r>
        <w:rPr>
          <w:rFonts w:ascii="Times New Roman" w:eastAsia="Times New Roman" w:hAnsi="Times New Roman"/>
          <w:b/>
          <w:bCs/>
          <w:sz w:val="20"/>
          <w:szCs w:val="20"/>
          <w:lang w:eastAsia="tr-TR"/>
        </w:rPr>
        <w:t>Başvuru ve Yerleştirme</w:t>
      </w:r>
    </w:p>
    <w:tbl>
      <w:tblPr>
        <w:tblW w:w="4859" w:type="pct"/>
        <w:tblCellMar>
          <w:left w:w="0" w:type="dxa"/>
          <w:right w:w="0" w:type="dxa"/>
        </w:tblCellMar>
        <w:tblLook w:val="04A0" w:firstRow="1" w:lastRow="0" w:firstColumn="1" w:lastColumn="0" w:noHBand="0" w:noVBand="1"/>
      </w:tblPr>
      <w:tblGrid>
        <w:gridCol w:w="8816"/>
      </w:tblGrid>
      <w:tr w:rsidR="0017016E" w:rsidTr="0017016E">
        <w:tc>
          <w:tcPr>
            <w:tcW w:w="9781" w:type="dxa"/>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MADDE 5 –(1) </w:t>
            </w:r>
            <w:r>
              <w:rPr>
                <w:rFonts w:ascii="Times New Roman" w:eastAsia="Times New Roman" w:hAnsi="Times New Roman"/>
                <w:sz w:val="20"/>
                <w:szCs w:val="20"/>
                <w:lang w:eastAsia="tr-TR"/>
              </w:rPr>
              <w:t xml:space="preserve">Üniversitemizin lisans programlarında öğrenim gören ve en erken lisans programlarının birinci sınıfını (ikinci yarı yılını) tamamlamış öğrencilerin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 sertifika programına başvuru hakkı vardır. Ancak, kontenjan kısıtlılığı durumlarında son sınıf öğrencilerine öncelik verilerek yalnızca onların başvurusu alınabilir. </w:t>
            </w:r>
          </w:p>
        </w:tc>
      </w:tr>
      <w:tr w:rsidR="0017016E" w:rsidTr="0017016E">
        <w:tc>
          <w:tcPr>
            <w:tcW w:w="9781" w:type="dxa"/>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(2) </w:t>
            </w:r>
            <w:r>
              <w:rPr>
                <w:rFonts w:ascii="Times New Roman" w:eastAsia="Times New Roman" w:hAnsi="Times New Roman"/>
                <w:sz w:val="20"/>
                <w:szCs w:val="20"/>
                <w:lang w:eastAsia="tr-TR"/>
              </w:rPr>
              <w:t xml:space="preserve">Programa başvuran öğrenciler, program açılan alanlar itibariyle fiziki imkanlar ve insan kaynaklarının kapasitesi, eğitim ve öğretimin niteliği göz önünde bulundurularak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birimi, fakülte yönetim kurulu ve üniversite </w:t>
            </w:r>
            <w:proofErr w:type="spellStart"/>
            <w:r>
              <w:rPr>
                <w:rFonts w:ascii="Times New Roman" w:eastAsia="Times New Roman" w:hAnsi="Times New Roman"/>
                <w:sz w:val="20"/>
                <w:szCs w:val="20"/>
                <w:lang w:eastAsia="tr-TR"/>
              </w:rPr>
              <w:t>yönetimikontenjanlar</w:t>
            </w:r>
            <w:proofErr w:type="spellEnd"/>
            <w:r>
              <w:rPr>
                <w:rFonts w:ascii="Times New Roman" w:eastAsia="Times New Roman" w:hAnsi="Times New Roman"/>
                <w:sz w:val="20"/>
                <w:szCs w:val="20"/>
                <w:lang w:eastAsia="tr-TR"/>
              </w:rPr>
              <w:t xml:space="preserve"> ve kriterleri (akademik ortalama, üniversite giriş puanı vb.) belirler ve bu çerçevede açılan programlara yerleştirilir. </w:t>
            </w:r>
          </w:p>
        </w:tc>
      </w:tr>
      <w:tr w:rsidR="0017016E" w:rsidTr="0017016E">
        <w:tc>
          <w:tcPr>
            <w:tcW w:w="9781" w:type="dxa"/>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(3) </w:t>
            </w:r>
            <w:r>
              <w:rPr>
                <w:rFonts w:ascii="Times New Roman" w:eastAsia="Times New Roman" w:hAnsi="Times New Roman"/>
                <w:sz w:val="20"/>
                <w:szCs w:val="20"/>
                <w:lang w:eastAsia="tr-TR"/>
              </w:rPr>
              <w:t xml:space="preserve">Bünyesinde eğitim/eğitim bilimleri fakültesi olmayan ve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programı açılmayan üniversitelerin ilgili lisans programlarına devam eden öğrenciler, ilgili döneme ait formasyon birimi kararı doğrultusunda başvurabilirler.</w:t>
            </w:r>
          </w:p>
          <w:p w:rsidR="0017016E" w:rsidRDefault="0017016E">
            <w:pPr>
              <w:spacing w:after="0" w:line="240" w:lineRule="auto"/>
              <w:jc w:val="both"/>
              <w:rPr>
                <w:rFonts w:ascii="Arial" w:eastAsia="Times New Roman" w:hAnsi="Arial" w:cs="Arial"/>
                <w:sz w:val="20"/>
                <w:szCs w:val="20"/>
                <w:lang w:eastAsia="tr-TR"/>
              </w:rPr>
            </w:pPr>
          </w:p>
        </w:tc>
      </w:tr>
    </w:tbl>
    <w:p w:rsidR="0017016E" w:rsidRDefault="0017016E" w:rsidP="0017016E">
      <w:r>
        <w:br w:type="page"/>
      </w:r>
    </w:p>
    <w:tbl>
      <w:tblPr>
        <w:tblW w:w="5000" w:type="pct"/>
        <w:tblCellMar>
          <w:left w:w="0" w:type="dxa"/>
          <w:right w:w="0" w:type="dxa"/>
        </w:tblCellMar>
        <w:tblLook w:val="04A0" w:firstRow="1" w:lastRow="0" w:firstColumn="1" w:lastColumn="0" w:noHBand="0" w:noVBand="1"/>
      </w:tblPr>
      <w:tblGrid>
        <w:gridCol w:w="9072"/>
      </w:tblGrid>
      <w:tr w:rsidR="0017016E" w:rsidTr="003462E6">
        <w:tc>
          <w:tcPr>
            <w:tcW w:w="9072" w:type="dxa"/>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lastRenderedPageBreak/>
              <w:t>(4) </w:t>
            </w:r>
            <w:r>
              <w:rPr>
                <w:rFonts w:ascii="Times New Roman" w:eastAsia="Times New Roman" w:hAnsi="Times New Roman"/>
                <w:sz w:val="20"/>
                <w:szCs w:val="20"/>
                <w:lang w:eastAsia="tr-TR"/>
              </w:rPr>
              <w:t xml:space="preserve">Açık öğretim ve uzaktan öğretim yoluyla sunulan lisans programlarına devam eden öğrencilerle bu programların mezunlarından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 programına katılmak isteyenler başvurabilirler. </w:t>
            </w:r>
          </w:p>
        </w:tc>
      </w:tr>
      <w:tr w:rsidR="0017016E" w:rsidTr="003462E6">
        <w:tc>
          <w:tcPr>
            <w:tcW w:w="9072" w:type="dxa"/>
          </w:tcPr>
          <w:p w:rsidR="0017016E" w:rsidRDefault="003462E6">
            <w:pPr>
              <w:spacing w:after="0" w:line="240" w:lineRule="auto"/>
              <w:jc w:val="both"/>
              <w:rPr>
                <w:rFonts w:ascii="Arial" w:eastAsia="Times New Roman" w:hAnsi="Arial" w:cs="Arial"/>
                <w:sz w:val="20"/>
                <w:szCs w:val="20"/>
                <w:lang w:eastAsia="tr-TR"/>
              </w:rPr>
            </w:pPr>
            <w:r>
              <w:br w:type="page"/>
            </w:r>
            <w:r w:rsidR="0017016E">
              <w:br w:type="page"/>
            </w:r>
            <w:r w:rsidR="0017016E">
              <w:rPr>
                <w:rFonts w:ascii="Times New Roman" w:eastAsia="Times New Roman" w:hAnsi="Times New Roman"/>
                <w:b/>
                <w:bCs/>
                <w:sz w:val="20"/>
                <w:szCs w:val="20"/>
                <w:lang w:eastAsia="tr-TR"/>
              </w:rPr>
              <w:t>(5)</w:t>
            </w:r>
            <w:r w:rsidR="0017016E">
              <w:rPr>
                <w:rFonts w:ascii="Times New Roman" w:eastAsia="Times New Roman" w:hAnsi="Times New Roman"/>
                <w:sz w:val="20"/>
                <w:szCs w:val="20"/>
                <w:lang w:eastAsia="tr-TR"/>
              </w:rPr>
              <w:t xml:space="preserve"> İlgili lisans programlarından mezun olanlar başvuru yapabilir ve mezunlar için belirlenen kontenjanlar </w:t>
            </w:r>
            <w:proofErr w:type="gramStart"/>
            <w:r w:rsidR="0017016E">
              <w:rPr>
                <w:rFonts w:ascii="Times New Roman" w:eastAsia="Times New Roman" w:hAnsi="Times New Roman"/>
                <w:sz w:val="20"/>
                <w:szCs w:val="20"/>
                <w:lang w:eastAsia="tr-TR"/>
              </w:rPr>
              <w:t>dahilinde</w:t>
            </w:r>
            <w:proofErr w:type="gramEnd"/>
            <w:r w:rsidR="0017016E">
              <w:rPr>
                <w:rFonts w:ascii="Times New Roman" w:eastAsia="Times New Roman" w:hAnsi="Times New Roman"/>
                <w:sz w:val="20"/>
                <w:szCs w:val="20"/>
                <w:lang w:eastAsia="tr-TR"/>
              </w:rPr>
              <w:t xml:space="preserve"> programlara yerleştirilirler.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(6)</w:t>
            </w:r>
            <w:r>
              <w:rPr>
                <w:rFonts w:ascii="Times New Roman" w:eastAsia="Times New Roman" w:hAnsi="Times New Roman"/>
                <w:sz w:val="20"/>
                <w:szCs w:val="20"/>
                <w:lang w:eastAsia="tr-TR"/>
              </w:rPr>
              <w:t xml:space="preserve"> Öğrencinin devam ettiği ya da mezun olduğu ana dal lisans programı, program açılan alanlar içinde yer almıyorsa ve öğrenci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 sertifika programı açılan bir lisans programında çift ana dal yapıyor ya da yapmışsa, çift ana dal yaptığı alandan programa başvurabilir. Öğrencinin kayıtlı olduğu ana dal lisans programı ile çift ana dal yaptığı lisans programının ikisi de TTKB tarafından hazırlanan çizelgede yer alıyorsa, her iki programdan birini tercih ederek programa başvurabilir.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Program Açma</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MADDE 6 –(1)</w:t>
            </w:r>
            <w:r>
              <w:rPr>
                <w:rFonts w:ascii="Times New Roman" w:eastAsia="Times New Roman" w:hAnsi="Times New Roman"/>
                <w:sz w:val="20"/>
                <w:szCs w:val="20"/>
                <w:lang w:eastAsia="tr-TR"/>
              </w:rPr>
              <w:t xml:space="preserve">Pedagojik Formasyon Birimi lüzum görmesi halinde her öğretim yılı için açmak istediği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 talebini Fakülte Yönetim Kurulundan geçirdikten sonra Üniversite Yönetim Kurulunun onayına sunar. </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Dersler ve Programın Süresi</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MADDE 7</w:t>
            </w:r>
            <w:r>
              <w:rPr>
                <w:rFonts w:ascii="Times New Roman" w:eastAsia="Times New Roman" w:hAnsi="Times New Roman"/>
                <w:sz w:val="20"/>
                <w:szCs w:val="20"/>
                <w:lang w:eastAsia="tr-TR"/>
              </w:rPr>
              <w:t> </w:t>
            </w:r>
            <w:r>
              <w:rPr>
                <w:rFonts w:ascii="Times New Roman" w:eastAsia="Times New Roman" w:hAnsi="Times New Roman"/>
                <w:b/>
                <w:bCs/>
                <w:sz w:val="20"/>
                <w:szCs w:val="20"/>
                <w:lang w:eastAsia="tr-TR"/>
              </w:rPr>
              <w:t>–(1)</w:t>
            </w:r>
            <w:r>
              <w:rPr>
                <w:rFonts w:ascii="Times New Roman" w:eastAsia="Times New Roman" w:hAnsi="Times New Roman"/>
                <w:sz w:val="20"/>
                <w:szCs w:val="20"/>
                <w:lang w:eastAsia="tr-TR"/>
              </w:rPr>
              <w:t> Pedagojik Formasyon Eğitimi Sertifika Programında yer alan dersler, Ek-1 ve Ek-2'de yer almaktadır. Programda Ek 1 ve Ek 2'de yer almayan bir ders açılamaz.</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(2)</w:t>
            </w:r>
            <w:r>
              <w:rPr>
                <w:rFonts w:ascii="Times New Roman" w:eastAsia="Times New Roman" w:hAnsi="Times New Roman"/>
                <w:sz w:val="20"/>
                <w:szCs w:val="20"/>
                <w:lang w:eastAsia="tr-TR"/>
              </w:rPr>
              <w:t xml:space="preserve">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 programının eğitim süresi en az iki yarıyıldır. Dersler, en az iki yarıyıla bölünerek ve bir öğretim yılında tamamlanabilecek şekilde yürütülür. Yoğunlaştırılmış bir programda ise bir dönemin süresi, yedi haftadan daha az olamaz.</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(3)</w:t>
            </w:r>
            <w:r>
              <w:rPr>
                <w:rFonts w:ascii="Times New Roman" w:eastAsia="Times New Roman" w:hAnsi="Times New Roman"/>
                <w:sz w:val="20"/>
                <w:szCs w:val="20"/>
                <w:lang w:eastAsia="tr-TR"/>
              </w:rPr>
              <w:t xml:space="preserve"> Lisans eğitimleri süresince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eğitimini tamamlayamayanlar, lisans mezuniyeti sonrasında bu programlara devam edebilirler.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(4)</w:t>
            </w:r>
            <w:r>
              <w:rPr>
                <w:rFonts w:ascii="Times New Roman" w:eastAsia="Times New Roman" w:hAnsi="Times New Roman"/>
                <w:sz w:val="20"/>
                <w:szCs w:val="20"/>
                <w:lang w:eastAsia="tr-TR"/>
              </w:rPr>
              <w:t xml:space="preserve">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programına devam eden öğrenciler, başarısız olduğu derslerden en fazla iki dersi formasyon biriminden izin almak kaydıyla yaz döneminde başka üniversitelerden alabilir ve bu dersleri muafiyet için formasyon birimine ibraz edebilirler.</w:t>
            </w:r>
          </w:p>
          <w:p w:rsidR="0017016E" w:rsidRDefault="0017016E">
            <w:pPr>
              <w:spacing w:after="0" w:line="240" w:lineRule="auto"/>
              <w:rPr>
                <w:rFonts w:ascii="Arial" w:eastAsia="Times New Roman" w:hAnsi="Arial" w:cs="Arial"/>
                <w:sz w:val="20"/>
                <w:szCs w:val="20"/>
                <w:lang w:eastAsia="tr-TR"/>
              </w:rPr>
            </w:pPr>
            <w:r>
              <w:rPr>
                <w:rFonts w:ascii="Times New Roman" w:eastAsia="Times New Roman" w:hAnsi="Times New Roman"/>
                <w:b/>
                <w:bCs/>
                <w:sz w:val="20"/>
                <w:szCs w:val="20"/>
                <w:lang w:eastAsia="tr-TR"/>
              </w:rPr>
              <w:t> </w:t>
            </w:r>
          </w:p>
          <w:p w:rsidR="0017016E" w:rsidRDefault="0017016E">
            <w:pPr>
              <w:spacing w:after="0" w:line="240" w:lineRule="auto"/>
              <w:jc w:val="center"/>
              <w:rPr>
                <w:rFonts w:ascii="Arial" w:eastAsia="Times New Roman" w:hAnsi="Arial" w:cs="Arial"/>
                <w:sz w:val="20"/>
                <w:szCs w:val="20"/>
                <w:lang w:eastAsia="tr-TR"/>
              </w:rPr>
            </w:pPr>
            <w:r>
              <w:rPr>
                <w:rFonts w:ascii="Times New Roman" w:eastAsia="Times New Roman" w:hAnsi="Times New Roman"/>
                <w:b/>
                <w:bCs/>
                <w:sz w:val="20"/>
                <w:szCs w:val="20"/>
                <w:lang w:eastAsia="tr-TR"/>
              </w:rPr>
              <w:t>ÜÇÜNCÜ BÖLÜM</w:t>
            </w:r>
          </w:p>
          <w:p w:rsidR="0017016E" w:rsidRDefault="0017016E">
            <w:pPr>
              <w:spacing w:after="0" w:line="240" w:lineRule="auto"/>
              <w:jc w:val="center"/>
              <w:rPr>
                <w:rFonts w:ascii="Arial" w:eastAsia="Times New Roman" w:hAnsi="Arial" w:cs="Arial"/>
                <w:sz w:val="20"/>
                <w:szCs w:val="20"/>
                <w:lang w:eastAsia="tr-TR"/>
              </w:rPr>
            </w:pPr>
            <w:r>
              <w:rPr>
                <w:rFonts w:ascii="Times New Roman" w:eastAsia="Times New Roman" w:hAnsi="Times New Roman"/>
                <w:b/>
                <w:bCs/>
                <w:sz w:val="20"/>
                <w:szCs w:val="20"/>
                <w:lang w:eastAsia="tr-TR"/>
              </w:rPr>
              <w:t>Programın Yürütülmesinden Sorumlu Birimler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r>
              <w:rPr>
                <w:rFonts w:ascii="Times New Roman" w:eastAsia="Times New Roman" w:hAnsi="Times New Roman"/>
                <w:b/>
                <w:bCs/>
                <w:sz w:val="20"/>
                <w:szCs w:val="20"/>
                <w:lang w:eastAsia="tr-TR"/>
              </w:rPr>
              <w:t>Fakülte Yönetim Kurulu</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r>
              <w:rPr>
                <w:rFonts w:ascii="Times New Roman" w:eastAsia="Times New Roman" w:hAnsi="Times New Roman"/>
                <w:b/>
                <w:bCs/>
                <w:sz w:val="20"/>
                <w:szCs w:val="20"/>
                <w:lang w:eastAsia="tr-TR"/>
              </w:rPr>
              <w:t>MADDE 8- (1)</w:t>
            </w:r>
            <w:r>
              <w:rPr>
                <w:rFonts w:ascii="Times New Roman" w:eastAsia="Times New Roman" w:hAnsi="Times New Roman"/>
                <w:sz w:val="20"/>
                <w:szCs w:val="20"/>
                <w:lang w:eastAsia="tr-TR"/>
              </w:rPr>
              <w:t> Fakülte Yönetim Kurulu, programın açılması ve uygulanmasıyla ilgili kararları onaylamakla yükümlü olup, aşağıdaki görevleri yerine getirir.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r>
              <w:rPr>
                <w:rFonts w:ascii="Times New Roman" w:eastAsia="Times New Roman" w:hAnsi="Times New Roman"/>
                <w:b/>
                <w:bCs/>
                <w:sz w:val="20"/>
                <w:szCs w:val="20"/>
                <w:lang w:eastAsia="tr-TR"/>
              </w:rPr>
              <w:t>a)</w:t>
            </w:r>
            <w:r>
              <w:rPr>
                <w:rFonts w:ascii="Times New Roman" w:eastAsia="Times New Roman" w:hAnsi="Times New Roman"/>
                <w:sz w:val="20"/>
                <w:szCs w:val="20"/>
                <w:lang w:eastAsia="tr-TR"/>
              </w:rPr>
              <w:t> Formasyon biriminin önerileri doğrultusunda ve öğretim elemanlarının uzmanlık alanları da dikkate alınarak programda yer alan dersleri verecek öğretim üyelerinin görevlendirmek,</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b)</w:t>
            </w:r>
            <w:r>
              <w:rPr>
                <w:rFonts w:ascii="Times New Roman" w:eastAsia="Times New Roman" w:hAnsi="Times New Roman"/>
                <w:sz w:val="20"/>
                <w:szCs w:val="20"/>
                <w:lang w:eastAsia="tr-TR"/>
              </w:rPr>
              <w:t> Programın yürütülmesinde görevlendirilecek öğretim elemanları ve personelle birlikte Milli Eğitim Bakanlığı'na bağlı okullarda görev yapan uygulama öğretmenlerine ve koordinatörlere ödenecek katkı paylarıyla ilgili işlemleri onaylamak.</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Pedagojik Formasyon Birimi</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r>
              <w:rPr>
                <w:rFonts w:ascii="Times New Roman" w:eastAsia="Times New Roman" w:hAnsi="Times New Roman"/>
                <w:b/>
                <w:bCs/>
                <w:sz w:val="20"/>
                <w:szCs w:val="20"/>
                <w:lang w:eastAsia="tr-TR"/>
              </w:rPr>
              <w:t>MADDE 9-(1)</w:t>
            </w:r>
            <w:r>
              <w:rPr>
                <w:rFonts w:ascii="Times New Roman" w:eastAsia="Times New Roman" w:hAnsi="Times New Roman"/>
                <w:sz w:val="20"/>
                <w:szCs w:val="20"/>
                <w:lang w:eastAsia="tr-TR"/>
              </w:rPr>
              <w:t> Programa ilişkin akademik, idari ve mali işler, fakülte dekanı tarafından oluşturulan Pedagojik Formasyon Birimince yürütülür. Bu birim; bir dekan yardımcısı başkanlığında eğitim bilimleri bölüm başkanı, doktorası ya da doçentliği eğitim bilimleri ve öğretmen yetiştirme alanından olan bir öğretim üyesinden oluşur. Dekan yardımcısı, programın idari ve mali; eğitim bilimleri bölüm başkanı ise, akademik konularındaki koordinatörüdür. Birimin sekretarya işleri için de yeterli sayıda personel görevlendirilir.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Birimin görevleri şunlardır: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a)</w:t>
            </w:r>
            <w:r>
              <w:rPr>
                <w:rFonts w:ascii="Times New Roman" w:eastAsia="Times New Roman" w:hAnsi="Times New Roman"/>
                <w:sz w:val="20"/>
                <w:szCs w:val="20"/>
                <w:lang w:eastAsia="tr-TR"/>
              </w:rPr>
              <w:t> Akademik takvimi ve ders programlarını yapmak, programın uygulama ilkelerini belirlemek, uygulamaları izlemek, stratejiler geliştirmek, programları değerlendirmek.</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b)</w:t>
            </w:r>
            <w:r>
              <w:rPr>
                <w:rFonts w:ascii="Times New Roman" w:eastAsia="Times New Roman" w:hAnsi="Times New Roman"/>
                <w:sz w:val="20"/>
                <w:szCs w:val="20"/>
                <w:lang w:eastAsia="tr-TR"/>
              </w:rPr>
              <w:t> Diğer birimlerle işbirliği yaparak dersleri yürütecek öğretim üyelerinin ders programlarını belirlemek.</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c)</w:t>
            </w:r>
            <w:r>
              <w:rPr>
                <w:rFonts w:ascii="Times New Roman" w:eastAsia="Times New Roman" w:hAnsi="Times New Roman"/>
                <w:sz w:val="20"/>
                <w:szCs w:val="20"/>
                <w:lang w:eastAsia="tr-TR"/>
              </w:rPr>
              <w:t> İlgili birim ve kişiler arasında işbirliğini sağlayarak programın düzenli bir şekilde yürütülmesini sağlamak.</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ç)</w:t>
            </w:r>
            <w:r>
              <w:rPr>
                <w:rFonts w:ascii="Times New Roman" w:eastAsia="Times New Roman" w:hAnsi="Times New Roman"/>
                <w:sz w:val="20"/>
                <w:szCs w:val="20"/>
                <w:lang w:eastAsia="tr-TR"/>
              </w:rPr>
              <w:t> Sınav programlarını hazırlamak ve uygulamak,</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d)</w:t>
            </w:r>
            <w:r>
              <w:rPr>
                <w:rFonts w:ascii="Times New Roman" w:eastAsia="Times New Roman" w:hAnsi="Times New Roman"/>
                <w:sz w:val="20"/>
                <w:szCs w:val="20"/>
                <w:lang w:eastAsia="tr-TR"/>
              </w:rPr>
              <w:t> Öğretmenlik Uygulaması dersinde Milli Eğitim Bakanlığı'na bağlı uygulama yapılacak okulları ve uygulamaya gidecek öğrencilerin listesini hazırlamak.</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e)</w:t>
            </w:r>
            <w:r>
              <w:rPr>
                <w:rFonts w:ascii="Times New Roman" w:eastAsia="Times New Roman" w:hAnsi="Times New Roman"/>
                <w:sz w:val="20"/>
                <w:szCs w:val="20"/>
                <w:lang w:eastAsia="tr-TR"/>
              </w:rPr>
              <w:t> Okullara ve öğrenci gruplarına göre, danışman öğretim üyelerini ve rehber öğretmenleri belirlemek,</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f)</w:t>
            </w:r>
            <w:r>
              <w:rPr>
                <w:rFonts w:ascii="Times New Roman" w:eastAsia="Times New Roman" w:hAnsi="Times New Roman"/>
                <w:sz w:val="20"/>
                <w:szCs w:val="20"/>
                <w:lang w:eastAsia="tr-TR"/>
              </w:rPr>
              <w:t> Uygulamalar için valilik ve İl Milli Eğitim Müdürlüğü'nden izinleri almak için gerekli belgelerle birlikte dekanlığa başvurmak.</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g)</w:t>
            </w:r>
            <w:r>
              <w:rPr>
                <w:rFonts w:ascii="Times New Roman" w:eastAsia="Times New Roman" w:hAnsi="Times New Roman"/>
                <w:sz w:val="20"/>
                <w:szCs w:val="20"/>
                <w:lang w:eastAsia="tr-TR"/>
              </w:rPr>
              <w:t> Dekanlıkça verilecek diğer görevleri yapmak.</w:t>
            </w:r>
          </w:p>
          <w:p w:rsidR="0017016E" w:rsidRDefault="0017016E">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17016E" w:rsidRDefault="0017016E">
            <w:pPr>
              <w:spacing w:after="0" w:line="240" w:lineRule="auto"/>
              <w:jc w:val="center"/>
              <w:rPr>
                <w:rFonts w:ascii="Arial" w:eastAsia="Times New Roman" w:hAnsi="Arial" w:cs="Arial"/>
                <w:sz w:val="20"/>
                <w:szCs w:val="20"/>
                <w:lang w:eastAsia="tr-TR"/>
              </w:rPr>
            </w:pPr>
            <w:r>
              <w:rPr>
                <w:rFonts w:ascii="Times New Roman" w:eastAsia="Times New Roman" w:hAnsi="Times New Roman"/>
                <w:b/>
                <w:bCs/>
                <w:sz w:val="20"/>
                <w:szCs w:val="20"/>
                <w:lang w:eastAsia="tr-TR"/>
              </w:rPr>
              <w:lastRenderedPageBreak/>
              <w:t>DÖRDÜNCÜ BÖLÜM</w:t>
            </w:r>
          </w:p>
          <w:p w:rsidR="0017016E" w:rsidRDefault="0017016E">
            <w:pPr>
              <w:spacing w:after="0" w:line="240" w:lineRule="auto"/>
              <w:rPr>
                <w:rFonts w:ascii="Arial" w:eastAsia="Times New Roman" w:hAnsi="Arial" w:cs="Arial"/>
                <w:sz w:val="20"/>
                <w:szCs w:val="20"/>
                <w:lang w:eastAsia="tr-TR"/>
              </w:rPr>
            </w:pPr>
            <w:r>
              <w:rPr>
                <w:rFonts w:ascii="Times New Roman" w:eastAsia="Times New Roman" w:hAnsi="Times New Roman"/>
                <w:b/>
                <w:bCs/>
                <w:sz w:val="20"/>
                <w:szCs w:val="20"/>
                <w:lang w:eastAsia="tr-TR"/>
              </w:rPr>
              <w:t>                        Derslere Devam, Ders Muafiyeti, Programı Bitirme ve Sertifika Belgesi</w:t>
            </w:r>
          </w:p>
          <w:p w:rsidR="0017016E" w:rsidRDefault="0017016E">
            <w:pPr>
              <w:spacing w:after="0" w:line="240" w:lineRule="auto"/>
              <w:rPr>
                <w:rFonts w:ascii="Times New Roman" w:eastAsia="Times New Roman" w:hAnsi="Times New Roman"/>
                <w:b/>
                <w:bCs/>
                <w:sz w:val="20"/>
                <w:szCs w:val="20"/>
                <w:lang w:eastAsia="tr-TR"/>
              </w:rPr>
            </w:pPr>
          </w:p>
          <w:p w:rsidR="0017016E" w:rsidRDefault="0017016E">
            <w:pPr>
              <w:spacing w:after="0" w:line="240" w:lineRule="auto"/>
              <w:rPr>
                <w:rFonts w:ascii="Arial" w:eastAsia="Times New Roman" w:hAnsi="Arial" w:cs="Arial"/>
                <w:sz w:val="20"/>
                <w:szCs w:val="20"/>
                <w:lang w:eastAsia="tr-TR"/>
              </w:rPr>
            </w:pPr>
            <w:r>
              <w:rPr>
                <w:rFonts w:ascii="Times New Roman" w:eastAsia="Times New Roman" w:hAnsi="Times New Roman"/>
                <w:b/>
                <w:bCs/>
                <w:sz w:val="20"/>
                <w:szCs w:val="20"/>
                <w:lang w:eastAsia="tr-TR"/>
              </w:rPr>
              <w:t>Derslere Devam</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r>
              <w:rPr>
                <w:rFonts w:ascii="Times New Roman" w:eastAsia="Times New Roman" w:hAnsi="Times New Roman"/>
                <w:b/>
                <w:bCs/>
                <w:sz w:val="20"/>
                <w:szCs w:val="20"/>
                <w:lang w:eastAsia="tr-TR"/>
              </w:rPr>
              <w:t>MADDE 10 -(1)</w:t>
            </w:r>
            <w:r>
              <w:rPr>
                <w:rFonts w:ascii="Times New Roman" w:eastAsia="Times New Roman" w:hAnsi="Times New Roman"/>
                <w:sz w:val="20"/>
                <w:szCs w:val="20"/>
                <w:lang w:eastAsia="tr-TR"/>
              </w:rPr>
              <w:t> Programdaki dersler, eğitim-öğretimle ilgili işler, sınavlar ve disiplin konularında, Kırıkkale Üniversitesi, Eğitim-Öğretim ve Sınav Yönetmeliği ile Yükseköğretim Kurumlarının Öğrenci Disiplin Yönetmeliği'nin hükümleri uygulanır.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(2)</w:t>
            </w:r>
            <w:r>
              <w:rPr>
                <w:rFonts w:ascii="Times New Roman" w:eastAsia="Times New Roman" w:hAnsi="Times New Roman"/>
                <w:sz w:val="20"/>
                <w:szCs w:val="20"/>
                <w:lang w:eastAsia="tr-TR"/>
              </w:rPr>
              <w:t> Bir dönemde en az bir dersten devam şartını sağlayan, ancak bazı derslerden devam alamayanlar, bir sonraki dönemde ders kredisi başına Kurumca belirlenecek öğrenim ücretini yatırarak programa devam eder.</w:t>
            </w:r>
          </w:p>
          <w:tbl>
            <w:tblPr>
              <w:tblW w:w="9781" w:type="dxa"/>
              <w:tblCellMar>
                <w:left w:w="0" w:type="dxa"/>
                <w:right w:w="0" w:type="dxa"/>
              </w:tblCellMar>
              <w:tblLook w:val="04A0" w:firstRow="1" w:lastRow="0" w:firstColumn="1" w:lastColumn="0" w:noHBand="0" w:noVBand="1"/>
            </w:tblPr>
            <w:tblGrid>
              <w:gridCol w:w="9781"/>
            </w:tblGrid>
            <w:tr w:rsidR="0017016E">
              <w:tc>
                <w:tcPr>
                  <w:tcW w:w="9781" w:type="dxa"/>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(3) </w:t>
                  </w:r>
                  <w:r>
                    <w:rPr>
                      <w:rFonts w:ascii="Times New Roman" w:eastAsia="Times New Roman" w:hAnsi="Times New Roman"/>
                      <w:sz w:val="20"/>
                      <w:szCs w:val="20"/>
                      <w:lang w:eastAsia="tr-TR"/>
                    </w:rPr>
                    <w:t xml:space="preserve">Programa başlayanlar, her dönemin ilk haftası içinde, o dönemde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 programı kapsamındaki bazı derslerden muaf olmak için başvuruda bulunabilir. Muaf olunan dersler için öğrencilere ayrıca ücret iadesi yapılmaz.</w:t>
                  </w:r>
                </w:p>
              </w:tc>
            </w:tr>
            <w:tr w:rsidR="0017016E">
              <w:tc>
                <w:tcPr>
                  <w:tcW w:w="9781" w:type="dxa"/>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(4) </w:t>
                  </w:r>
                  <w:r>
                    <w:rPr>
                      <w:rFonts w:ascii="Times New Roman" w:eastAsia="Times New Roman" w:hAnsi="Times New Roman"/>
                      <w:sz w:val="20"/>
                      <w:szCs w:val="20"/>
                      <w:lang w:eastAsia="tr-TR"/>
                    </w:rPr>
                    <w:t>Özel öğretim kurumlarında veya MEB'e bağlı okullarda bir öğretim yılından az olmamak kaydıyla öğretmenlik yaptığını belgeleyenler, Öğretmenlik Uygulaması dersinden muaf tutulabilir.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(5) </w:t>
                  </w:r>
                  <w:r>
                    <w:rPr>
                      <w:rFonts w:ascii="Times New Roman" w:eastAsia="Times New Roman" w:hAnsi="Times New Roman"/>
                      <w:sz w:val="20"/>
                      <w:szCs w:val="20"/>
                      <w:lang w:eastAsia="tr-TR"/>
                    </w:rPr>
                    <w:t>Programda aldığı dersleri, öngörülen öğrenim süresi içinde başaramamış olan öğrencilere, Kırıkkale Üniversitesi Eğitim-Öğretim ve Sınav Yönetmeliği hükümleri uygulanır.</w:t>
                  </w:r>
                </w:p>
              </w:tc>
            </w:tr>
            <w:tr w:rsidR="0017016E">
              <w:tc>
                <w:tcPr>
                  <w:tcW w:w="9781" w:type="dxa"/>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 (6) </w:t>
                  </w:r>
                  <w:r>
                    <w:rPr>
                      <w:rFonts w:ascii="Times New Roman" w:eastAsia="Times New Roman" w:hAnsi="Times New Roman"/>
                      <w:sz w:val="20"/>
                      <w:szCs w:val="20"/>
                      <w:lang w:eastAsia="tr-TR"/>
                    </w:rPr>
                    <w:t>Programa kayıtlı olmak, erkek öğrencilerin askerlik tecil işlemleri için bir gerekçe oluşturmaz. Programı tamamlamadan askere alınan öğrenciler, askerlik hizmetinden sonra terhislerini izleyen ilk iki yıl içinde başvurmaları durumunda programa kaldıkları yerden devam edebilirler.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(7) </w:t>
                  </w:r>
                  <w:r>
                    <w:rPr>
                      <w:rFonts w:ascii="Times New Roman" w:eastAsia="Times New Roman" w:hAnsi="Times New Roman"/>
                      <w:sz w:val="20"/>
                      <w:szCs w:val="20"/>
                      <w:lang w:eastAsia="tr-TR"/>
                    </w:rPr>
                    <w:t>Programda yer alan dersler, derslerin kredileri ve notları, lisans programından ayrı bir transkriptte gösterilir.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(8) </w:t>
                  </w:r>
                  <w:r>
                    <w:rPr>
                      <w:rFonts w:ascii="Times New Roman" w:eastAsia="Times New Roman" w:hAnsi="Times New Roman"/>
                      <w:sz w:val="20"/>
                      <w:szCs w:val="20"/>
                      <w:lang w:eastAsia="tr-TR"/>
                    </w:rPr>
                    <w:t>Programa devam edenler, sınav hakları dışındaki diğer öğrencilik haklarından yararlanamazlar.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 (9) </w:t>
                  </w:r>
                  <w:r>
                    <w:rPr>
                      <w:rFonts w:ascii="Times New Roman" w:eastAsia="Times New Roman" w:hAnsi="Times New Roman"/>
                      <w:sz w:val="20"/>
                      <w:szCs w:val="20"/>
                      <w:lang w:eastAsia="tr-TR"/>
                    </w:rPr>
                    <w:t>Programdan herhangi bir nedenle ilişiği kesilenlere ve ayrılanlara, istemeleri halinde o güne kadar almış oldukları derslere ilişkin not durum belgesi verilir.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(10) </w:t>
                  </w:r>
                  <w:r>
                    <w:rPr>
                      <w:rFonts w:ascii="Times New Roman" w:eastAsia="Times New Roman" w:hAnsi="Times New Roman"/>
                      <w:sz w:val="20"/>
                      <w:szCs w:val="20"/>
                      <w:lang w:eastAsia="tr-TR"/>
                    </w:rPr>
                    <w:t>Kırıkkale Üniversitesi, Eğitim- öğretim ve sınav yönetmeliği hükümlerine göre, programda yer alan derslerin tümünden başarılı olanlar, Pedagojik Formasyon Eğitimi Sertifikası almaya hak kazanır.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(11) </w:t>
                  </w:r>
                  <w:r>
                    <w:rPr>
                      <w:rFonts w:ascii="Times New Roman" w:eastAsia="Times New Roman" w:hAnsi="Times New Roman"/>
                      <w:sz w:val="20"/>
                      <w:szCs w:val="20"/>
                      <w:lang w:eastAsia="tr-TR"/>
                    </w:rPr>
                    <w:t xml:space="preserve">Aynı 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eğitimine dayalı olarak birden fazla alanda sertifika belgesi düzenlenemez.</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(12) </w:t>
                  </w:r>
                  <w:r>
                    <w:rPr>
                      <w:rFonts w:ascii="Times New Roman" w:eastAsia="Times New Roman" w:hAnsi="Times New Roman"/>
                      <w:sz w:val="20"/>
                      <w:szCs w:val="20"/>
                      <w:lang w:eastAsia="tr-TR"/>
                    </w:rPr>
                    <w:t xml:space="preserve">Pedagojik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eğitimi sertifika programlarına kayıtlı lisans öğrencileri, yatay geçiş yoluyla başka bir yükseköğretim kurumuna veya başka bir yükseköğretim kurumundan Kırıkkale Üniversitesine kaydoldukları takdirde, varsa ilgili yüksek öğretim kurumunun yürütmekte olduğu pedagojik formasyon eğitimi sertifika programına da yatay geçiş yapmış sayılırlar. Bu öğrenciler için, lisans programları arasındaki yatay geçiş hükümleri uygulanır. Öğrenci değişim programları için de bu hüküm geçerlidir. Başka bir yükseköğretim kurumundan Kırıkkale Üniversitesine yatay geçiş yapan öğrenciler, </w:t>
                  </w:r>
                  <w:proofErr w:type="gramStart"/>
                  <w:r>
                    <w:rPr>
                      <w:rFonts w:ascii="Times New Roman" w:eastAsia="Times New Roman" w:hAnsi="Times New Roman"/>
                      <w:sz w:val="20"/>
                      <w:szCs w:val="20"/>
                      <w:lang w:eastAsia="tr-TR"/>
                    </w:rPr>
                    <w:t>formasyon</w:t>
                  </w:r>
                  <w:proofErr w:type="gramEnd"/>
                  <w:r>
                    <w:rPr>
                      <w:rFonts w:ascii="Times New Roman" w:eastAsia="Times New Roman" w:hAnsi="Times New Roman"/>
                      <w:sz w:val="20"/>
                      <w:szCs w:val="20"/>
                      <w:lang w:eastAsia="tr-TR"/>
                    </w:rPr>
                    <w:t xml:space="preserve"> birimi tarafından belirlenen öğrenim ücretini öderler.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p>
              </w:tc>
            </w:tr>
            <w:tr w:rsidR="0017016E">
              <w:tc>
                <w:tcPr>
                  <w:tcW w:w="9781" w:type="dxa"/>
                  <w:hideMark/>
                </w:tcPr>
                <w:p w:rsidR="0017016E" w:rsidRDefault="0017016E">
                  <w:pPr>
                    <w:spacing w:after="0" w:line="240" w:lineRule="auto"/>
                    <w:jc w:val="center"/>
                    <w:rPr>
                      <w:rFonts w:ascii="Arial" w:eastAsia="Times New Roman" w:hAnsi="Arial" w:cs="Arial"/>
                      <w:sz w:val="20"/>
                      <w:szCs w:val="20"/>
                      <w:lang w:eastAsia="tr-TR"/>
                    </w:rPr>
                  </w:pPr>
                  <w:r>
                    <w:rPr>
                      <w:rFonts w:ascii="Times New Roman" w:eastAsia="Times New Roman" w:hAnsi="Times New Roman"/>
                      <w:b/>
                      <w:bCs/>
                      <w:sz w:val="20"/>
                      <w:szCs w:val="20"/>
                      <w:lang w:eastAsia="tr-TR"/>
                    </w:rPr>
                    <w:t>BEŞİNCİ BÖLÜM</w:t>
                  </w:r>
                </w:p>
                <w:p w:rsidR="0017016E" w:rsidRDefault="0017016E">
                  <w:pPr>
                    <w:spacing w:after="0" w:line="240" w:lineRule="auto"/>
                    <w:jc w:val="center"/>
                    <w:rPr>
                      <w:rFonts w:ascii="Arial" w:eastAsia="Times New Roman" w:hAnsi="Arial" w:cs="Arial"/>
                      <w:sz w:val="20"/>
                      <w:szCs w:val="20"/>
                      <w:lang w:eastAsia="tr-TR"/>
                    </w:rPr>
                  </w:pPr>
                  <w:r>
                    <w:rPr>
                      <w:rFonts w:ascii="Times New Roman" w:eastAsia="Times New Roman" w:hAnsi="Times New Roman"/>
                      <w:b/>
                      <w:bCs/>
                      <w:sz w:val="20"/>
                      <w:szCs w:val="20"/>
                      <w:lang w:eastAsia="tr-TR"/>
                    </w:rPr>
                    <w:t>Öğrenim Ücreti ve Katkı Payı Dağıtımı</w:t>
                  </w:r>
                </w:p>
                <w:p w:rsidR="003462E6" w:rsidRDefault="003462E6">
                  <w:pPr>
                    <w:spacing w:after="0" w:line="240" w:lineRule="auto"/>
                    <w:rPr>
                      <w:rFonts w:ascii="Times New Roman" w:eastAsia="Times New Roman" w:hAnsi="Times New Roman"/>
                      <w:b/>
                      <w:bCs/>
                      <w:sz w:val="20"/>
                      <w:szCs w:val="20"/>
                      <w:lang w:eastAsia="tr-TR"/>
                    </w:rPr>
                  </w:pPr>
                </w:p>
                <w:p w:rsidR="0017016E" w:rsidRDefault="0017016E">
                  <w:pPr>
                    <w:spacing w:after="0" w:line="240" w:lineRule="auto"/>
                    <w:rPr>
                      <w:rFonts w:ascii="Arial" w:eastAsia="Times New Roman" w:hAnsi="Arial" w:cs="Arial"/>
                      <w:sz w:val="20"/>
                      <w:szCs w:val="20"/>
                      <w:lang w:eastAsia="tr-TR"/>
                    </w:rPr>
                  </w:pPr>
                  <w:r>
                    <w:rPr>
                      <w:rFonts w:ascii="Times New Roman" w:eastAsia="Times New Roman" w:hAnsi="Times New Roman"/>
                      <w:b/>
                      <w:bCs/>
                      <w:sz w:val="20"/>
                      <w:szCs w:val="20"/>
                      <w:lang w:eastAsia="tr-TR"/>
                    </w:rPr>
                    <w:t>Öğrenim Ücreti</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r>
                    <w:rPr>
                      <w:rFonts w:ascii="Times New Roman" w:eastAsia="Times New Roman" w:hAnsi="Times New Roman"/>
                      <w:b/>
                      <w:bCs/>
                      <w:sz w:val="20"/>
                      <w:szCs w:val="20"/>
                      <w:lang w:eastAsia="tr-TR"/>
                    </w:rPr>
                    <w:t>MADDE 11-(1) </w:t>
                  </w:r>
                  <w:r>
                    <w:rPr>
                      <w:rFonts w:ascii="Times New Roman" w:eastAsia="Times New Roman" w:hAnsi="Times New Roman"/>
                      <w:sz w:val="20"/>
                      <w:szCs w:val="20"/>
                      <w:lang w:eastAsia="tr-TR"/>
                    </w:rPr>
                    <w:t>Programa kaydolanlardan alınabilecek ücret, Yüksek Öğretim Kurulunun belirlediği üst sınırı aşmamak kaydıyla Fakülte Yönetim Kurulu tarafından belirlenir.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(2) </w:t>
                  </w:r>
                  <w:r>
                    <w:rPr>
                      <w:rFonts w:ascii="Times New Roman" w:eastAsia="Times New Roman" w:hAnsi="Times New Roman"/>
                      <w:sz w:val="20"/>
                      <w:szCs w:val="20"/>
                      <w:lang w:eastAsia="tr-TR"/>
                    </w:rPr>
                    <w:t>Öğrenim ücreti, kurumca belirlenecek taksitler halinde ödenir.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(3) </w:t>
                  </w:r>
                  <w:r>
                    <w:rPr>
                      <w:rFonts w:ascii="Times New Roman" w:eastAsia="Times New Roman" w:hAnsi="Times New Roman"/>
                      <w:sz w:val="20"/>
                      <w:szCs w:val="20"/>
                      <w:lang w:eastAsia="tr-TR"/>
                    </w:rPr>
                    <w:t>Formasyon eğitimi iki dönemden daha fazla döneme yayılması söz konusu olduğunda öğrencilerin sertifika programı için ödeyecekleri ücretler, ilgili dönemde alacakları derslerin kredilerinin toplam kredi içindeki payına göre hesaplanır, Formasyon birimi tarafından belirlenecek taksitler halinde ödenir.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(4) </w:t>
                  </w:r>
                  <w:r>
                    <w:rPr>
                      <w:rFonts w:ascii="Times New Roman" w:eastAsia="Times New Roman" w:hAnsi="Times New Roman"/>
                      <w:sz w:val="20"/>
                      <w:szCs w:val="20"/>
                      <w:lang w:eastAsia="tr-TR"/>
                    </w:rPr>
                    <w:t>Ders tekrarında alınacak ücretler, tekrar edilecek derslerin kredilerinin toplam kredi içindeki payına göre hesaplanır, toplam öğrenim ücretinin tekrar edilen dersin kredi başına düşen miktarı alınabilir.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(5) </w:t>
                  </w:r>
                  <w:r>
                    <w:rPr>
                      <w:rFonts w:ascii="Times New Roman" w:eastAsia="Times New Roman" w:hAnsi="Times New Roman"/>
                      <w:sz w:val="20"/>
                      <w:szCs w:val="20"/>
                      <w:lang w:eastAsia="tr-TR"/>
                    </w:rPr>
                    <w:t>Öğrenimine haklı ve geçerli sebepler dışında ara verenlerle bir ya da birden çok dönemde bütün derslerden devamsız olan ve başarısız sayılanlar, izleyen dönemlerde ders başına öğrenim ücretini tekrar yatırırlar ve programa devam ederler.</w:t>
                  </w:r>
                </w:p>
              </w:tc>
            </w:tr>
            <w:tr w:rsidR="0017016E">
              <w:tc>
                <w:tcPr>
                  <w:tcW w:w="9781" w:type="dxa"/>
                </w:tcPr>
                <w:p w:rsidR="0017016E" w:rsidRDefault="0017016E">
                  <w:pPr>
                    <w:spacing w:after="0" w:line="240" w:lineRule="auto"/>
                    <w:jc w:val="both"/>
                    <w:rPr>
                      <w:rFonts w:ascii="Times New Roman" w:eastAsia="Times New Roman" w:hAnsi="Times New Roman"/>
                      <w:sz w:val="20"/>
                      <w:szCs w:val="20"/>
                      <w:lang w:eastAsia="tr-TR"/>
                    </w:rPr>
                  </w:pP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Katkı Paylarının Dağıtımı</w:t>
                  </w:r>
                  <w:r>
                    <w:rPr>
                      <w:rFonts w:ascii="Times New Roman" w:eastAsia="Times New Roman" w:hAnsi="Times New Roman"/>
                      <w:sz w:val="20"/>
                      <w:szCs w:val="20"/>
                      <w:lang w:eastAsia="tr-TR"/>
                    </w:rPr>
                    <w:t> </w:t>
                  </w:r>
                </w:p>
              </w:tc>
            </w:tr>
            <w:tr w:rsidR="0017016E">
              <w:tc>
                <w:tcPr>
                  <w:tcW w:w="9781" w:type="dxa"/>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MADDE 12–(1)</w:t>
                  </w:r>
                  <w:r>
                    <w:rPr>
                      <w:rFonts w:ascii="Times New Roman" w:eastAsia="Times New Roman" w:hAnsi="Times New Roman"/>
                      <w:sz w:val="20"/>
                      <w:szCs w:val="20"/>
                      <w:lang w:eastAsia="tr-TR"/>
                    </w:rPr>
                    <w:t>Programın yürütülmesine katkıda bulunanların katkı payları, Kırıkkale Üniversitesi, Eğitim Fakültesi Döner Sermaye Katkı Payı Dağıtım Esasları doğrultusunda hesaplanır ve ödenir.</w:t>
                  </w:r>
                </w:p>
              </w:tc>
            </w:tr>
            <w:tr w:rsidR="0017016E">
              <w:tc>
                <w:tcPr>
                  <w:tcW w:w="9781" w:type="dxa"/>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p>
                <w:p w:rsidR="0017016E" w:rsidRDefault="0017016E">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3462E6" w:rsidRDefault="003462E6">
                  <w:pPr>
                    <w:spacing w:after="0" w:line="240" w:lineRule="auto"/>
                    <w:jc w:val="center"/>
                    <w:rPr>
                      <w:rFonts w:ascii="Times New Roman" w:eastAsia="Times New Roman" w:hAnsi="Times New Roman"/>
                      <w:b/>
                      <w:bCs/>
                      <w:sz w:val="20"/>
                      <w:szCs w:val="20"/>
                      <w:lang w:eastAsia="tr-TR"/>
                    </w:rPr>
                  </w:pPr>
                </w:p>
                <w:p w:rsidR="0017016E" w:rsidRDefault="0017016E">
                  <w:pPr>
                    <w:spacing w:after="0" w:line="240" w:lineRule="auto"/>
                    <w:jc w:val="center"/>
                    <w:rPr>
                      <w:rFonts w:ascii="Arial" w:eastAsia="Times New Roman" w:hAnsi="Arial" w:cs="Arial"/>
                      <w:sz w:val="20"/>
                      <w:szCs w:val="20"/>
                      <w:lang w:eastAsia="tr-TR"/>
                    </w:rPr>
                  </w:pPr>
                  <w:r>
                    <w:rPr>
                      <w:rFonts w:ascii="Times New Roman" w:eastAsia="Times New Roman" w:hAnsi="Times New Roman"/>
                      <w:b/>
                      <w:bCs/>
                      <w:sz w:val="20"/>
                      <w:szCs w:val="20"/>
                      <w:lang w:eastAsia="tr-TR"/>
                    </w:rPr>
                    <w:lastRenderedPageBreak/>
                    <w:t>ALTINCI BÖLÜM</w:t>
                  </w:r>
                </w:p>
                <w:p w:rsidR="0017016E" w:rsidRDefault="0017016E">
                  <w:pPr>
                    <w:spacing w:after="0" w:line="240" w:lineRule="auto"/>
                    <w:jc w:val="center"/>
                    <w:rPr>
                      <w:rFonts w:ascii="Arial" w:eastAsia="Times New Roman" w:hAnsi="Arial" w:cs="Arial"/>
                      <w:sz w:val="20"/>
                      <w:szCs w:val="20"/>
                      <w:lang w:eastAsia="tr-TR"/>
                    </w:rPr>
                  </w:pPr>
                  <w:r>
                    <w:rPr>
                      <w:rFonts w:ascii="Times New Roman" w:eastAsia="Times New Roman" w:hAnsi="Times New Roman"/>
                      <w:b/>
                      <w:bCs/>
                      <w:sz w:val="20"/>
                      <w:szCs w:val="20"/>
                      <w:lang w:eastAsia="tr-TR"/>
                    </w:rPr>
                    <w:t>Hüküm Bulunmayan Hâller, Yürürlükten Kaldırılan Mevzuat ve Yürütme</w:t>
                  </w:r>
                </w:p>
                <w:p w:rsidR="003462E6" w:rsidRDefault="003462E6">
                  <w:pPr>
                    <w:spacing w:after="0" w:line="240" w:lineRule="auto"/>
                    <w:rPr>
                      <w:rFonts w:ascii="Times New Roman" w:eastAsia="Times New Roman" w:hAnsi="Times New Roman"/>
                      <w:b/>
                      <w:bCs/>
                      <w:sz w:val="20"/>
                      <w:szCs w:val="20"/>
                      <w:lang w:eastAsia="tr-TR"/>
                    </w:rPr>
                  </w:pPr>
                </w:p>
                <w:p w:rsidR="0017016E" w:rsidRDefault="0017016E">
                  <w:pPr>
                    <w:spacing w:after="0" w:line="240" w:lineRule="auto"/>
                    <w:rPr>
                      <w:rFonts w:ascii="Arial" w:eastAsia="Times New Roman" w:hAnsi="Arial" w:cs="Arial"/>
                      <w:sz w:val="20"/>
                      <w:szCs w:val="20"/>
                      <w:lang w:eastAsia="tr-TR"/>
                    </w:rPr>
                  </w:pPr>
                  <w:r>
                    <w:rPr>
                      <w:rFonts w:ascii="Times New Roman" w:eastAsia="Times New Roman" w:hAnsi="Times New Roman"/>
                      <w:b/>
                      <w:bCs/>
                      <w:sz w:val="20"/>
                      <w:szCs w:val="20"/>
                      <w:lang w:eastAsia="tr-TR"/>
                    </w:rPr>
                    <w:t>Hüküm Bulunmayan Hâller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MADDE 13 –(1) </w:t>
                  </w:r>
                  <w:r>
                    <w:rPr>
                      <w:rFonts w:ascii="Times New Roman" w:eastAsia="Times New Roman" w:hAnsi="Times New Roman"/>
                      <w:sz w:val="20"/>
                      <w:szCs w:val="20"/>
                      <w:lang w:eastAsia="tr-TR"/>
                    </w:rPr>
                    <w:t>Bu Usul ve Esasların uygulanması sırasında doğabilecek sorunları gidermede fakülte yönetim kurulu ve üniversite yönetimi kurullarınca karar verilir.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Yürürlükten Kaldırılan Mevzuat</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MADDE 14-(1) </w:t>
                  </w:r>
                  <w:proofErr w:type="gramStart"/>
                  <w:r>
                    <w:rPr>
                      <w:rFonts w:ascii="Times New Roman" w:eastAsia="Times New Roman" w:hAnsi="Times New Roman"/>
                      <w:sz w:val="20"/>
                      <w:szCs w:val="20"/>
                      <w:lang w:eastAsia="tr-TR"/>
                    </w:rPr>
                    <w:t>07/04/2010</w:t>
                  </w:r>
                  <w:proofErr w:type="gramEnd"/>
                  <w:r>
                    <w:rPr>
                      <w:rFonts w:ascii="Times New Roman" w:eastAsia="Times New Roman" w:hAnsi="Times New Roman"/>
                      <w:sz w:val="20"/>
                      <w:szCs w:val="20"/>
                      <w:lang w:eastAsia="tr-TR"/>
                    </w:rPr>
                    <w:t xml:space="preserve"> tarihli ve 07/19 sayılı Senato kararıyla kabul edilmiş olan “Kırıkkale Üniversitesi Pedagojik Formasyon Eğitimi Yönergesi” yürürlükten kaldırılmıştır.</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Yürütme</w:t>
                  </w:r>
                </w:p>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r>
                    <w:rPr>
                      <w:rFonts w:ascii="Times New Roman" w:eastAsia="Times New Roman" w:hAnsi="Times New Roman"/>
                      <w:b/>
                      <w:bCs/>
                      <w:sz w:val="20"/>
                      <w:szCs w:val="20"/>
                      <w:lang w:eastAsia="tr-TR"/>
                    </w:rPr>
                    <w:t>MADDE 15- (1) </w:t>
                  </w:r>
                  <w:r>
                    <w:rPr>
                      <w:rFonts w:ascii="Times New Roman" w:eastAsia="Times New Roman" w:hAnsi="Times New Roman"/>
                      <w:sz w:val="20"/>
                      <w:szCs w:val="20"/>
                      <w:lang w:eastAsia="tr-TR"/>
                    </w:rPr>
                    <w:t>Bu Yönergenin hükümlerini Kırıkkale Üniversitesi Rektörü yürütür. </w:t>
                  </w:r>
                </w:p>
                <w:p w:rsidR="0017016E" w:rsidRDefault="0017016E">
                  <w:pPr>
                    <w:spacing w:after="0" w:line="240" w:lineRule="auto"/>
                    <w:textAlignment w:val="top"/>
                    <w:rPr>
                      <w:rFonts w:ascii="Arial" w:eastAsia="Times New Roman" w:hAnsi="Arial" w:cs="Arial"/>
                      <w:sz w:val="20"/>
                      <w:szCs w:val="20"/>
                      <w:lang w:eastAsia="tr-TR"/>
                    </w:rPr>
                  </w:pPr>
                  <w:r>
                    <w:rPr>
                      <w:rFonts w:ascii="Times New Roman" w:eastAsia="Times New Roman" w:hAnsi="Times New Roman"/>
                      <w:b/>
                      <w:bCs/>
                      <w:sz w:val="20"/>
                      <w:szCs w:val="20"/>
                      <w:lang w:eastAsia="tr-TR"/>
                    </w:rPr>
                    <w:t> </w:t>
                  </w:r>
                </w:p>
                <w:p w:rsidR="0017016E" w:rsidRDefault="0017016E">
                  <w:pPr>
                    <w:spacing w:after="0" w:line="240" w:lineRule="auto"/>
                    <w:jc w:val="center"/>
                    <w:textAlignment w:val="top"/>
                    <w:rPr>
                      <w:rFonts w:ascii="Arial" w:eastAsia="Times New Roman" w:hAnsi="Arial" w:cs="Arial"/>
                      <w:sz w:val="20"/>
                      <w:szCs w:val="20"/>
                      <w:lang w:eastAsia="tr-TR"/>
                    </w:rPr>
                  </w:pPr>
                  <w:r>
                    <w:rPr>
                      <w:rFonts w:ascii="Times New Roman" w:eastAsia="Times New Roman" w:hAnsi="Times New Roman"/>
                      <w:b/>
                      <w:bCs/>
                      <w:sz w:val="20"/>
                      <w:szCs w:val="20"/>
                      <w:lang w:eastAsia="tr-TR"/>
                    </w:rPr>
                    <w:t>EK 1-</w:t>
                  </w:r>
                </w:p>
              </w:tc>
            </w:tr>
            <w:tr w:rsidR="0017016E">
              <w:tc>
                <w:tcPr>
                  <w:tcW w:w="9781" w:type="dxa"/>
                  <w:hideMark/>
                </w:tcPr>
                <w:p w:rsidR="0017016E" w:rsidRDefault="0017016E">
                  <w:pPr>
                    <w:spacing w:after="0" w:line="240" w:lineRule="auto"/>
                    <w:jc w:val="center"/>
                    <w:rPr>
                      <w:rFonts w:ascii="Arial" w:eastAsia="Times New Roman" w:hAnsi="Arial" w:cs="Arial"/>
                      <w:sz w:val="20"/>
                      <w:szCs w:val="20"/>
                      <w:lang w:eastAsia="tr-TR"/>
                    </w:rPr>
                  </w:pPr>
                  <w:r>
                    <w:rPr>
                      <w:rFonts w:ascii="Times New Roman" w:eastAsia="Times New Roman" w:hAnsi="Times New Roman"/>
                      <w:b/>
                      <w:bCs/>
                      <w:sz w:val="20"/>
                      <w:szCs w:val="20"/>
                      <w:lang w:eastAsia="tr-TR"/>
                    </w:rPr>
                    <w:lastRenderedPageBreak/>
                    <w:t>Pedagojik Formasyon Eğitimi Sertifika Programı Zorunlu Dersleri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2"/>
                    <w:gridCol w:w="1701"/>
                    <w:gridCol w:w="1701"/>
                    <w:gridCol w:w="1702"/>
                  </w:tblGrid>
                  <w:tr w:rsidR="0017016E">
                    <w:tc>
                      <w:tcPr>
                        <w:tcW w:w="4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Teorik Dersler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Teori</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Uygulama</w:t>
                        </w:r>
                      </w:p>
                    </w:tc>
                    <w:tc>
                      <w:tcPr>
                        <w:tcW w:w="17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Kredi</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Eğitim Bilimine Giriş</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0</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Öğretim İlke ve Yöntemleri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0</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Eğitimde Ölçme ve Değerlendirme</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0</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Eğitim Psikolojisi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0</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Sınıf Yönetimi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0</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Seçmeli Ders 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0</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Seçmeli Ders II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0</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Dönem Toplamı</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14</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0</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14</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b/>
                            <w:bCs/>
                            <w:sz w:val="20"/>
                            <w:szCs w:val="20"/>
                            <w:lang w:eastAsia="tr-TR"/>
                          </w:rPr>
                          <w:t>Uygulamalı Dersler</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 </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Özel Öğretim Yöntemleri</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3</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Öğretim Teknolojileri ve Materyal Tasarımı</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2</w:t>
                        </w:r>
                      </w:p>
                    </w:tc>
                    <w:tc>
                      <w:tcPr>
                        <w:tcW w:w="1702"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sz w:val="20"/>
                            <w:szCs w:val="20"/>
                            <w:lang w:eastAsia="tr-TR"/>
                          </w:rPr>
                        </w:pPr>
                        <w:r>
                          <w:rPr>
                            <w:rFonts w:ascii="Times New Roman" w:eastAsia="Times New Roman" w:hAnsi="Times New Roman"/>
                            <w:sz w:val="20"/>
                            <w:szCs w:val="20"/>
                            <w:lang w:eastAsia="tr-TR"/>
                          </w:rPr>
                          <w:t>3</w:t>
                        </w:r>
                      </w:p>
                    </w:tc>
                  </w:tr>
                  <w:tr w:rsidR="0017016E">
                    <w:tc>
                      <w:tcPr>
                        <w:tcW w:w="45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color w:val="000000"/>
                            <w:sz w:val="20"/>
                            <w:szCs w:val="20"/>
                            <w:lang w:eastAsia="tr-TR"/>
                          </w:rPr>
                        </w:pPr>
                        <w:r>
                          <w:rPr>
                            <w:rFonts w:ascii="Times New Roman" w:eastAsia="Times New Roman" w:hAnsi="Times New Roman"/>
                            <w:color w:val="000000"/>
                            <w:sz w:val="20"/>
                            <w:szCs w:val="20"/>
                            <w:lang w:eastAsia="tr-TR"/>
                          </w:rPr>
                          <w:t>Öğretmenlik Uygulaması</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17016E" w:rsidRDefault="0017016E">
                        <w:pPr>
                          <w:spacing w:after="0" w:line="240" w:lineRule="auto"/>
                          <w:jc w:val="both"/>
                          <w:rPr>
                            <w:rFonts w:ascii="Arial" w:eastAsia="Times New Roman" w:hAnsi="Arial" w:cs="Arial"/>
                            <w:color w:val="000000"/>
                            <w:sz w:val="20"/>
                            <w:szCs w:val="20"/>
                            <w:lang w:eastAsia="tr-TR"/>
                          </w:rPr>
                        </w:pPr>
                        <w:r>
                          <w:rPr>
                            <w:rFonts w:ascii="Times New Roman" w:eastAsia="Times New Roman" w:hAnsi="Times New Roman"/>
                            <w:color w:val="000000"/>
                            <w:sz w:val="20"/>
                            <w:szCs w:val="20"/>
                            <w:lang w:eastAsia="tr-TR"/>
                          </w:rPr>
                          <w:t>2</w:t>
                        </w:r>
                      </w:p>
                    </w:tc>
                    <w:tc>
                      <w:tcPr>
                        <w:tcW w:w="0" w:type="auto"/>
                        <w:tcBorders>
                          <w:top w:val="nil"/>
                          <w:left w:val="nil"/>
                          <w:bottom w:val="outset" w:sz="6" w:space="0" w:color="auto"/>
                          <w:right w:val="nil"/>
                        </w:tcBorders>
                        <w:vAlign w:val="center"/>
                        <w:hideMark/>
                      </w:tcPr>
                      <w:p w:rsidR="0017016E" w:rsidRDefault="0017016E">
                        <w:pPr>
                          <w:spacing w:after="0"/>
                        </w:pPr>
                      </w:p>
                    </w:tc>
                    <w:tc>
                      <w:tcPr>
                        <w:tcW w:w="0" w:type="auto"/>
                        <w:tcBorders>
                          <w:top w:val="nil"/>
                          <w:left w:val="nil"/>
                          <w:bottom w:val="outset" w:sz="6" w:space="0" w:color="auto"/>
                          <w:right w:val="outset" w:sz="6" w:space="0" w:color="auto"/>
                        </w:tcBorders>
                        <w:vAlign w:val="center"/>
                        <w:hideMark/>
                      </w:tcPr>
                      <w:p w:rsidR="0017016E" w:rsidRDefault="0017016E">
                        <w:pPr>
                          <w:spacing w:after="0"/>
                        </w:pPr>
                      </w:p>
                    </w:tc>
                  </w:tr>
                </w:tbl>
                <w:p w:rsidR="0017016E" w:rsidRDefault="0017016E">
                  <w:pPr>
                    <w:spacing w:after="0"/>
                  </w:pPr>
                </w:p>
              </w:tc>
            </w:tr>
          </w:tbl>
          <w:p w:rsidR="0017016E" w:rsidRDefault="0017016E">
            <w:pPr>
              <w:spacing w:after="0"/>
            </w:pPr>
          </w:p>
        </w:tc>
      </w:tr>
    </w:tbl>
    <w:p w:rsidR="0017016E" w:rsidRDefault="0017016E" w:rsidP="003462E6">
      <w:pPr>
        <w:spacing w:after="0" w:line="240" w:lineRule="auto"/>
        <w:ind w:firstLine="708"/>
        <w:jc w:val="both"/>
        <w:rPr>
          <w:rFonts w:ascii="Times New Roman" w:eastAsia="Times New Roman" w:hAnsi="Times New Roman"/>
          <w:b/>
          <w:snapToGrid w:val="0"/>
          <w:sz w:val="20"/>
          <w:szCs w:val="20"/>
          <w:lang w:eastAsia="tr-TR"/>
        </w:rPr>
      </w:pPr>
    </w:p>
    <w:sectPr w:rsidR="001701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978"/>
    <w:rsid w:val="0017016E"/>
    <w:rsid w:val="003462E6"/>
    <w:rsid w:val="004D75DA"/>
    <w:rsid w:val="00A25D64"/>
    <w:rsid w:val="00C822BF"/>
    <w:rsid w:val="00F17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6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6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35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1771</Words>
  <Characters>10095</Characters>
  <Application>Microsoft Office Word</Application>
  <DocSecurity>0</DocSecurity>
  <Lines>84</Lines>
  <Paragraphs>23</Paragraphs>
  <ScaleCrop>false</ScaleCrop>
  <Company/>
  <LinksUpToDate>false</LinksUpToDate>
  <CharactersWithSpaces>11843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dc:creator>
  <cp:keywords/>
  <dc:description/>
  <cp:lastModifiedBy>ilknur</cp:lastModifiedBy>
  <cp:revision>5</cp:revision>
  <dcterms:created xsi:type="dcterms:W3CDTF">2016-01-21T12:32:00Z</dcterms:created>
  <dcterms:modified xsi:type="dcterms:W3CDTF">2016-01-21T12:40:00Z</dcterms:modified>
</cp:coreProperties>
</file>